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tbl>
      <w:tblPr>
        <w:tblW w:w="0" w:type="auto"/>
        <w:tblInd w:w="0" w:type="dxa"/>
        <w:tblBorders>
          <w:top w:val="none" w:sz="4" w:space="0" w:shadow="0" w:frame="0" w:color="000000"/>
          <w:left w:val="none" w:sz="4" w:space="0" w:shadow="0" w:frame="0" w:color="000000"/>
          <w:bottom w:val="none" w:sz="4" w:space="0" w:shadow="0" w:frame="0" w:color="000000"/>
          <w:right w:val="none" w:sz="4" w:space="0" w:shadow="0" w:frame="0" w:color="000000"/>
          <w:insideH w:val="none" w:sz="4" w:space="0" w:shadow="0" w:frame="0" w:color="000000"/>
          <w:insideV w:val="none" w:sz="4" w:space="0" w:shadow="0" w:frame="0" w:color="000000"/>
        </w:tblBorders>
        <w:tblLayout w:type="autofit"/>
        <w:tblCellMar>
          <w:top w:w="0" w:type="dxa"/>
          <w:left w:w="0" w:type="dxa"/>
          <w:bottom w:w="0" w:type="dxa"/>
          <w:right w:w="0" w:type="dxa"/>
        </w:tblCellMar>
      </w:tblPr>
      <w:tblGrid/>
      <w:tr>
        <w:tc>
          <w:tcPr>
            <w:tcW w:w="10772" w:type="dxa"/>
            <w:tcBorders>
              <w:top w:val="nil"/>
              <w:left w:val="nil"/>
              <w:bottom w:val="nil"/>
              <w:right w:val="nil"/>
            </w:tcBorders>
            <w:tcMar>
              <w:top w:w="0" w:type="dxa"/>
              <w:left w:w="108" w:type="dxa"/>
              <w:bottom w:w="0" w:type="dxa"/>
              <w:right w:w="108" w:type="dxa"/>
            </w:tcMar>
            <w:vAlign w:val="top"/>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20"/>
                <w:szCs w:val="20"/>
              </w:rPr>
              <w:t> </w:t>
            </w:r>
          </w:p>
        </w:tc>
      </w:tr>
    </w:tbl>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vanish w:val="1"/>
          <w:sz w:val="24"/>
          <w:szCs w:val="24"/>
        </w:rPr>
        <w:t> </w:t>
      </w:r>
    </w:p>
    <w:tbl>
      <w:tblPr>
        <w:tblW w:w="10123" w:type="dxa"/>
        <w:tblInd w:w="93"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rPr>
          <w:trHeight w:hRule="atLeast" w:val="270"/>
        </w:trPr>
        <w:tc>
          <w:tcPr>
            <w:tcW w:w="5940" w:type="dxa"/>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b w:val="1"/>
                <w:sz w:val="20"/>
                <w:szCs w:val="20"/>
              </w:rPr>
              <w:t>ПОЯСНИТЕЛЬНАЯ ЗАПИСКА</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noWrap/>
            <w:tcMar>
              <w:top w:w="0" w:type="dxa"/>
              <w:left w:w="108" w:type="dxa"/>
              <w:bottom w:w="0" w:type="dxa"/>
              <w:right w:w="108" w:type="dxa"/>
            </w:tcMar>
            <w:vAlign w:val="bottom"/>
            <w:hideMark/>
          </w:tcPr>
          <w:p>
            <w:pPr>
              <w:ind w:left="0" w:right="0"/>
              <w:rPr>
                <w:sz w:val="24"/>
              </w:rPr>
            </w:pPr>
          </w:p>
        </w:tc>
      </w:tr>
      <w:tr>
        <w:trPr>
          <w:trHeight w:hRule="atLeast" w:val="255"/>
        </w:trPr>
        <w:tc>
          <w:tcPr>
            <w:tcW w:w="5940" w:type="dxa"/>
            <w:noWrap/>
            <w:tcMar>
              <w:top w:w="0" w:type="dxa"/>
              <w:left w:w="108" w:type="dxa"/>
              <w:bottom w:w="0" w:type="dxa"/>
              <w:right w:w="108" w:type="dxa"/>
            </w:tcMar>
            <w:vAlign w:val="bottom"/>
            <w:hideMark/>
          </w:tcPr>
          <w:p>
            <w:pPr>
              <w:ind w:left="0" w:right="0"/>
              <w:rPr>
                <w:sz w:val="24"/>
              </w:rPr>
            </w:pP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КОДЫ</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Форма по ОКУД</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0503160</w:t>
            </w:r>
          </w:p>
        </w:tc>
      </w:tr>
      <w:tr>
        <w:trPr>
          <w:trHeight w:hRule="atLeast" w:val="282"/>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                          на   1 января 2025 г.</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Дата</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01.01.2025</w:t>
            </w:r>
          </w:p>
        </w:tc>
      </w:tr>
      <w:tr>
        <w:trPr>
          <w:trHeight w:hRule="atLeast" w:val="30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Код субъекта бюджетной отчетности</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uto" w:line="30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ГРБС</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получатель бюджетных средств, главный администратор,   </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spacing w:lineRule="atLeast" w:line="195"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ОКПО</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195"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84001536</w:t>
            </w: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rPr>
          <w:trHeight w:hRule="atLeast" w:val="195"/>
        </w:trPr>
        <w:tc>
          <w:tcPr>
            <w:tcW w:w="5940" w:type="dxa"/>
            <w:noWrap/>
            <w:tcMar>
              <w:top w:w="0" w:type="dxa"/>
              <w:left w:w="108" w:type="dxa"/>
              <w:bottom w:w="0" w:type="dxa"/>
              <w:right w:w="108" w:type="dxa"/>
            </w:tcMar>
            <w:vAlign w:val="bottom"/>
            <w:hideMark/>
          </w:tcPr>
          <w:p>
            <w:pPr>
              <w:spacing w:lineRule="atLeast" w:line="195"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pPr>
              <w:ind w:left="0" w:right="0"/>
              <w:rPr>
                <w:sz w:val="20"/>
              </w:rPr>
            </w:pPr>
          </w:p>
        </w:tc>
        <w:tc>
          <w:tcPr>
            <w:tcW w:w="1500" w:type="dxa"/>
            <w:noWrap/>
            <w:tcMar>
              <w:top w:w="0" w:type="dxa"/>
              <w:left w:w="108" w:type="dxa"/>
              <w:bottom w:w="0" w:type="dxa"/>
              <w:right w:w="108" w:type="dxa"/>
            </w:tcMar>
            <w:vAlign w:val="bottom"/>
            <w:hideMark/>
          </w:tcPr>
          <w:p>
            <w:pPr>
              <w:ind w:left="0" w:right="0"/>
              <w:rPr>
                <w:sz w:val="20"/>
              </w:rPr>
            </w:pP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0"/>
              </w:rPr>
            </w:pPr>
          </w:p>
        </w:tc>
      </w:tr>
      <w:tr>
        <w:tc>
          <w:tcPr>
            <w:tcW w:w="0" w:type="auto"/>
            <w:gridSpan w:val="2"/>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дефицита бюджета </w:t>
            </w:r>
            <w:r>
              <w:rPr>
                <w:rFonts w:ascii="Times New Roman" w:hAnsi="Times New Roman" w:cs="Times New Roman" w:eastAsia="Times New Roman"/>
                <w:sz w:val="18"/>
                <w:szCs w:val="18"/>
                <w:u w:val="single"/>
              </w:rPr>
              <w:t>Министерство финансов Смоленской области</w:t>
            </w:r>
            <w:r>
              <w:rPr>
                <w:rFonts w:ascii="Times New Roman" w:hAnsi="Times New Roman" w:cs="Times New Roman" w:eastAsia="Times New Roman"/>
                <w:sz w:val="18"/>
                <w:szCs w:val="18"/>
              </w:rPr>
              <w:t>         </w:t>
            </w:r>
          </w:p>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4"/>
                <w:szCs w:val="24"/>
              </w:rPr>
              <w:t> </w:t>
            </w:r>
          </w:p>
        </w:tc>
        <w:tc>
          <w:tcPr>
            <w:tcW w:w="1500" w:type="dxa"/>
            <w:noWrap/>
            <w:tcMar>
              <w:top w:w="0" w:type="dxa"/>
              <w:left w:w="108" w:type="dxa"/>
              <w:bottom w:w="0" w:type="dxa"/>
              <w:right w:w="108" w:type="dxa"/>
            </w:tcMar>
            <w:vAlign w:val="bottom"/>
            <w:hideMark/>
          </w:tcPr>
          <w:p>
            <w:pPr>
              <w:spacing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Глава по БК</w:t>
            </w:r>
          </w:p>
        </w:tc>
        <w:tc>
          <w:tcPr>
            <w:tcW w:w="2461" w:type="dxa"/>
            <w:tcBorders>
              <w:top w:val="nil"/>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803</w:t>
            </w:r>
          </w:p>
        </w:tc>
      </w:tr>
      <w:tr>
        <w:trPr>
          <w:trHeight w:hRule="atLeast" w:val="280"/>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10"/>
        </w:trPr>
        <w:tc>
          <w:tcPr>
            <w:tcW w:w="0" w:type="auto"/>
            <w:gridSpan w:val="2"/>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(публично-правового образования) </w:t>
            </w:r>
            <w:r>
              <w:rPr>
                <w:rFonts w:ascii="Times New Roman" w:hAnsi="Times New Roman" w:cs="Times New Roman" w:eastAsia="Times New Roman"/>
                <w:sz w:val="18"/>
                <w:szCs w:val="18"/>
                <w:u w:val="single"/>
              </w:rPr>
              <w:t>Бюджет субъекта РФ</w:t>
            </w:r>
            <w:r>
              <w:rPr>
                <w:rFonts w:ascii="Times New Roman" w:hAnsi="Times New Roman" w:cs="Times New Roman" w:eastAsia="Times New Roman"/>
                <w:sz w:val="18"/>
                <w:szCs w:val="18"/>
              </w:rPr>
              <w:t xml:space="preserve"> </w:t>
            </w:r>
          </w:p>
          <w:p>
            <w:pPr>
              <w:spacing w:lineRule="atLeast" w:line="210"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 xml:space="preserve">   </w:t>
            </w:r>
          </w:p>
        </w:tc>
        <w:tc>
          <w:tcPr>
            <w:tcW w:w="1500" w:type="dxa"/>
            <w:noWrap/>
            <w:tcMar>
              <w:top w:w="0" w:type="dxa"/>
              <w:left w:w="108" w:type="dxa"/>
              <w:bottom w:w="0" w:type="dxa"/>
              <w:right w:w="108" w:type="dxa"/>
            </w:tcMar>
            <w:vAlign w:val="bottom"/>
            <w:hideMark/>
          </w:tcPr>
          <w:p>
            <w:pPr>
              <w:spacing w:lineRule="atLeast" w:line="210" w:before="0" w:after="0" w:beforeAutospacing="0" w:afterAutospacing="0"/>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по ОКТМО</w:t>
            </w:r>
          </w:p>
        </w:tc>
        <w:tc>
          <w:tcPr>
            <w:tcW w:w="2461" w:type="dxa"/>
            <w:tcBorders>
              <w:top w:val="nil"/>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spacing w:lineRule="atLeast" w:line="210"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5"/>
                <w:szCs w:val="15"/>
              </w:rPr>
              <w:t>66701000</w:t>
            </w:r>
          </w:p>
        </w:tc>
      </w:tr>
      <w:tr>
        <w:trPr>
          <w:trHeight w:hRule="atLeast" w:val="315"/>
        </w:trPr>
        <w:tc>
          <w:tcPr>
            <w:tcW w:w="5940" w:type="dxa"/>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tcBorders>
              <w:top w:val="single" w:sz="8" w:space="0" w:shadow="0" w:frame="0" w:color="000000"/>
              <w:left w:val="single" w:sz="8" w:space="0" w:shadow="0" w:frame="0" w:color="000000"/>
              <w:bottom w:val="nil"/>
              <w:right w:val="single" w:sz="8" w:space="0" w:shadow="0" w:frame="0" w:color="000000"/>
            </w:tcBorders>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18"/>
                <w:szCs w:val="18"/>
              </w:rPr>
              <w:t>Единица измерения: руб.</w:t>
            </w: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spacing w:before="240" w:after="240" w:beforeAutospacing="1" w:afterAutospacing="1"/>
              <w:ind w:left="0" w:right="0"/>
              <w:jc w:val="right"/>
              <w:rPr>
                <w:rFonts w:ascii="Times New Roman" w:hAnsi="Times New Roman" w:cs="Times New Roman" w:eastAsia="Times New Roman"/>
                <w:sz w:val="24"/>
              </w:rPr>
            </w:pPr>
            <w:r>
              <w:rPr>
                <w:rFonts w:ascii="Times New Roman" w:hAnsi="Times New Roman" w:cs="Times New Roman" w:eastAsia="Times New Roman"/>
                <w:sz w:val="18"/>
                <w:szCs w:val="18"/>
              </w:rPr>
              <w:t>    по ОКЕИ</w:t>
            </w:r>
          </w:p>
        </w:tc>
        <w:tc>
          <w:tcPr>
            <w:tcW w:w="2461" w:type="dxa"/>
            <w:tcBorders>
              <w:top w:val="single" w:sz="8" w:space="0" w:shadow="0" w:frame="0" w:color="000000"/>
              <w:left w:val="single" w:sz="8" w:space="0" w:shadow="0" w:frame="0" w:color="000000"/>
              <w:bottom w:val="single" w:sz="8" w:space="0" w:shadow="0" w:frame="0" w:color="000000"/>
              <w:right w:val="single" w:sz="8" w:space="0" w:shadow="0" w:frame="0" w:color="000000"/>
            </w:tcBorders>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18"/>
                <w:szCs w:val="18"/>
              </w:rPr>
              <w:t>383</w:t>
            </w:r>
          </w:p>
        </w:tc>
      </w:tr>
      <w:tr>
        <w:trPr>
          <w:trHeight w:hRule="atLeast" w:val="282"/>
        </w:trPr>
        <w:tc>
          <w:tcPr>
            <w:tcW w:w="0" w:type="auto"/>
            <w:noWrap/>
            <w:tcMar>
              <w:top w:w="0" w:type="dxa"/>
              <w:left w:w="108" w:type="dxa"/>
              <w:bottom w:w="0" w:type="dxa"/>
              <w:right w:w="108" w:type="dxa"/>
            </w:tcMar>
            <w:vAlign w:val="bottom"/>
            <w:hideMark/>
          </w:tcPr>
          <w:p>
            <w:pPr>
              <w:ind w:left="0" w:right="0"/>
              <w:rPr>
                <w:sz w:val="24"/>
              </w:rPr>
            </w:pPr>
          </w:p>
        </w:tc>
        <w:tc>
          <w:tcPr>
            <w:tcW w:w="222" w:type="dxa"/>
            <w:noWrap/>
            <w:tcMar>
              <w:top w:w="0" w:type="dxa"/>
              <w:left w:w="108" w:type="dxa"/>
              <w:bottom w:w="0" w:type="dxa"/>
              <w:right w:w="108" w:type="dxa"/>
            </w:tcMar>
            <w:vAlign w:val="bottom"/>
            <w:hideMark/>
          </w:tcPr>
          <w:p>
            <w:pPr>
              <w:ind w:left="0" w:right="0"/>
              <w:rPr>
                <w:sz w:val="24"/>
              </w:rPr>
            </w:pPr>
          </w:p>
        </w:tc>
        <w:tc>
          <w:tcPr>
            <w:tcW w:w="1500" w:type="dxa"/>
            <w:noWrap/>
            <w:tcMar>
              <w:top w:w="0" w:type="dxa"/>
              <w:left w:w="108" w:type="dxa"/>
              <w:bottom w:w="0" w:type="dxa"/>
              <w:right w:w="108" w:type="dxa"/>
            </w:tcMar>
            <w:vAlign w:val="bottom"/>
            <w:hideMark/>
          </w:tcPr>
          <w:p>
            <w:pPr>
              <w:ind w:left="0" w:right="0"/>
              <w:rPr>
                <w:sz w:val="24"/>
              </w:rPr>
            </w:pPr>
          </w:p>
        </w:tc>
        <w:tc>
          <w:tcPr>
            <w:tcW w:w="2461" w:type="dxa"/>
            <w:noWrap/>
            <w:tcMar>
              <w:top w:w="0" w:type="dxa"/>
              <w:left w:w="108" w:type="dxa"/>
              <w:bottom w:w="0" w:type="dxa"/>
              <w:right w:w="108" w:type="dxa"/>
            </w:tcMar>
            <w:vAlign w:val="bottom"/>
            <w:hideMark/>
          </w:tcPr>
          <w:p>
            <w:pPr>
              <w:ind w:left="0" w:right="0"/>
              <w:rPr>
                <w:sz w:val="24"/>
              </w:rPr>
            </w:pPr>
          </w:p>
        </w:tc>
      </w:tr>
      <w:tr>
        <w:trPr>
          <w:trHeight w:hRule="atLeast" w:val="282"/>
        </w:trPr>
        <w:tc>
          <w:tcPr>
            <w:tcW w:w="0" w:type="auto"/>
            <w:gridSpan w:val="4"/>
            <w:noWrap/>
            <w:tcMar>
              <w:top w:w="0" w:type="dxa"/>
              <w:left w:w="108" w:type="dxa"/>
              <w:bottom w:w="0" w:type="dxa"/>
              <w:right w:w="108" w:type="dxa"/>
            </w:tcMar>
            <w:vAlign w:val="bottom"/>
            <w:hideMark/>
          </w:tcPr>
          <w:p>
            <w:pPr>
              <w:ind w:left="0" w:right="0"/>
              <w:rPr>
                <w:sz w:val="24"/>
              </w:rPr>
            </w:pPr>
          </w:p>
        </w:tc>
      </w:tr>
    </w:tbl>
    <w:p>
      <w:pPr>
        <w:spacing w:before="240" w:after="24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Раздел 1 «Организационная структура субъекта бюджетной отчетности</w:t>
      </w:r>
      <w:r>
        <w:rPr>
          <w:rFonts w:ascii="Times New Roman" w:hAnsi="Times New Roman" w:cs="Times New Roman" w:eastAsia="Times New Roman"/>
          <w:color w:val="000000"/>
          <w:sz w:val="28"/>
          <w:szCs w:val="28"/>
        </w:rPr>
        <w:t>»</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Министерство финансов Смоленской области (далее – Министерство) является исполнительным органом Смоленской области, обеспечивающим реализацию единой финансовой и бюджетной политики на территории Смоленской области и координирующим деятельность в этой сфере иных исполнительных органов Смоленской области. Министерство является финансовым органом Смоленской области.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Министерство в соответствии с возложенными на него задачами осуществляет следующие функции: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Составление проекта областного бюджета на очередной финансовый год и плановый период и прогноза консолидированного бюджета Смоленской области на очередной финансовый год и плановый период, а также подготовка иных документов и материалов, представляемых в Смоленскую областную Думу одновременно с проектом областного закона об областном бюджете на очередной финансовый год и плановый период.</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-Установление порядка и методики планирования бюджетных ассигнований областного бюджета;</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Составление сводной бюджетной росписи областного бюджета, внесение изменений в нее, доведение показателей сводной бюджетной росписи областного бюджета до главных распорядителей средств областного бюджета;</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исполнения областного бюджета по расходам;</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учета бюджетных и денежных обязательств;</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исполнения областного бюджета по источникам финансирования дефицита областного бюджета;</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завершения операций по исполнению областного бюджета в текущем финансовом году;</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Осуществление методического руководства в пределах своей компетенции по вопросам ведения бухгалтерского учета и составления отчетности участниками бюджетного процесса, государственными учреждениями Смоленской области;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составления бюджетной отчетности главными распорядителями средств областного бюджета, главными администраторами доходов областного бюджета, главными администраторами источников финансирования дефицита областного бюджета, порядка составления бухгалтерской отчетности и сроков представления бюджетной и бухгалтерской отчетности в Министерство.</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и сроков представления органами местного самоуправления  муниципальных  образований  Смоленской  области  консолидированной бюджетной отчетности об исполнении местных бюджетов, консолидированной бухгалтерской отчетности и иной отчетности, установленной федеральными органами государственной власти;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Составление бюджетной отчетности об исполнении областного бюджета;</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Осуществление сбора, свода данных и формирование бюджетной отчетности об исполнении консолидированного бюджета Смоленской области и бюджета Территориального фонда обязательного медицинского страхования Смоленской области, а также консолидированной бухгалтерской отчетности для представления в Федеральное казначейство;</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Установление порядка взыскания остатков непогашенных бюджетных кредитов, предоставленных местным бюджетам из областного бюджета, включая проценты, штрафы и пени;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Осуществление методического руководства по вопросам организации бюджетного процесса;</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Разработка методики распределения и (или) порядков предоставления межбюджетных трансфертов из областного бюджета в пределах своей компетенции;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Ведение государственной долговой книги Смоленской области;</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Осуществление от имени Смоленской области государственных внутренних и внешних заимствований.</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Раздел  включает:</w:t>
      </w:r>
    </w:p>
    <w:p>
      <w:pPr>
        <w:spacing w:before="0" w:after="0" w:beforeAutospacing="0" w:afterAutospacing="0"/>
        <w:ind w:firstLine="54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Сведения об организационной структуре субъекта бюджетной отчетности </w:t>
      </w:r>
      <w:r>
        <w:rPr>
          <w:rFonts w:ascii="Times New Roman" w:hAnsi="Times New Roman" w:cs="Times New Roman" w:eastAsia="Times New Roman"/>
          <w:b w:val="1"/>
          <w:color w:val="000000"/>
          <w:sz w:val="28"/>
          <w:szCs w:val="28"/>
        </w:rPr>
        <w:t>(Таблица №11)</w:t>
      </w:r>
      <w:r>
        <w:rPr>
          <w:rFonts w:ascii="Times New Roman" w:hAnsi="Times New Roman" w:cs="Times New Roman" w:eastAsia="Times New Roman"/>
          <w:color w:val="000000"/>
          <w:sz w:val="28"/>
          <w:szCs w:val="28"/>
        </w:rPr>
        <w:t>;</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Раздел 2 «Результаты деятельности субъекта бюджетной отчетности</w:t>
      </w:r>
      <w:r>
        <w:rPr>
          <w:rFonts w:ascii="Times New Roman" w:hAnsi="Times New Roman" w:cs="Times New Roman" w:eastAsia="Times New Roman"/>
          <w:color w:val="000000"/>
          <w:sz w:val="28"/>
          <w:szCs w:val="28"/>
        </w:rPr>
        <w:t>»</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i w:val="1"/>
          <w:color w:val="000000"/>
          <w:sz w:val="28"/>
          <w:szCs w:val="28"/>
        </w:rPr>
        <w:t xml:space="preserve">Цели, задачи и основные показатели деятельности </w:t>
      </w:r>
      <w:r>
        <w:rPr>
          <w:rFonts w:ascii="Times New Roman" w:hAnsi="Times New Roman" w:cs="Times New Roman" w:eastAsia="Times New Roman"/>
          <w:color w:val="000000"/>
          <w:sz w:val="28"/>
          <w:szCs w:val="28"/>
        </w:rPr>
        <w:t>Министерство в пределах своей компетенции создает нормативные и методологические основы для оптимизации действующих и вновь принимаемых расходных обязательств областного бюджета, необходимых для эффективной реализации полномочий и функций органов государственной власти Смоленской области.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r>
        <w:rPr>
          <w:rFonts w:ascii="Times New Roman" w:hAnsi="Times New Roman" w:cs="Times New Roman" w:eastAsia="Times New Roman"/>
          <w:i w:val="1"/>
          <w:color w:val="000000"/>
          <w:sz w:val="28"/>
          <w:szCs w:val="28"/>
        </w:rPr>
        <w:t>Своевременная и качественная подготовка проекта областного закона об областном бюджете на очередной финансовый год и на плановый период.</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Конечным результатом решения данной задачи является принятый в установленном порядке и соответствующий требованиям бюджетного законодательства областной бюджет на очередной финансовый год и на плановый период.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Непосредственная подготовка законопроекта об областном бюджете на очередной финансовый год и на плановый период возложена на Министерство.</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2024 году был принят 3 - летний бюджет (областной закон от 19.12.2024 № 225-з «Об областном бюджете на 2025 год и на плановый период 2026 и 2027 годов»). При разработке данного законопроекта Министерством были соблюдены нормы, установленные Бюджетным кодексом Российской Федерации, областным законом от 28.05.2008 № 65-з «О бюджетном процессе в Смоленской области» (далее – областной закон «О бюджетном процессе в Смоленской области»).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Годовой отчет об исполнении областного бюджета представляется на рассмотрение и утверждение в Смоленскую областную Думу в порядке и сроки, установленные областным законом «О бюджетном процессе в Смоленской области».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Министерство является уполномоченным органом по составлению годового отчета об исполнении консолидированного бюджета Смоленской области. Годовой отчет об исполнении консолидированного бюджета Смоленской области составляется на основании 25 консолидированных годовых отчетов об исполнении бюджетов муниципальных районов, 2 годовых отчетов бюджетов городских округов, 1 годового отчета об исполнении областного бюджета и 1 отчета об исполнении бюджета территориального фонда обязательного медицинского страхования и представляется в Федеральное казначейство в соответствии с утвержденными сроками. По результатам приемки годовых отчетов Федеральное казначейство оформляет средствами подсистемы «Учет и отчетность» государственной интегрированной информационной системы управления государственными финансами «Электронный бюджет» Уведомление о принятии отчетности.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i w:val="1"/>
          <w:color w:val="000000"/>
          <w:sz w:val="28"/>
          <w:szCs w:val="28"/>
        </w:rPr>
        <w:t xml:space="preserve">Создание условий для повышения качества финансового менеджмента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Министерством разработан Порядок проведения мониторинга качества финансового менеджмента в отношении главных распорядителей средств областного бюджета, главных администраторов доходов областного бюджета, главных администраторов источников финансирования дефицита областного бюджета и разработаны расчеты итоговой оценки качества финансового менеджмента и целевых значений показателей качества финансового менеджмента главного администратора средств бюджета (утвержден приказом Департамента бюджета и финансов Смоленской области от 26.12.2020 № 165-а).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Отчет о результатах мониторинга качества финансового менеджмента, сформированный на основании данных расчета показателей качества финансового менеджмента по главным администраторам размещается на официальном сайте Министерства финансов в информационно-телекоммуникационной сети «Интернет» и в ГИИС УОС «Электронный бюджет».</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Мониторинг качества финансового менеджмента проводится ежегодно.</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i w:val="1"/>
          <w:color w:val="000000"/>
          <w:sz w:val="28"/>
          <w:szCs w:val="28"/>
        </w:rPr>
        <w:t>Оптимизация управления государственным долгом Смоленской области</w:t>
      </w:r>
      <w:r>
        <w:rPr>
          <w:rFonts w:ascii="Times New Roman" w:hAnsi="Times New Roman" w:cs="Times New Roman" w:eastAsia="Times New Roman"/>
          <w:color w:val="000000"/>
          <w:sz w:val="28"/>
          <w:szCs w:val="28"/>
        </w:rPr>
        <w:t>.</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условиях принятия и исполнения областного бюджета долговая политика Смоленской области строилась на принципах своевременности исполнения долговых обязательств, минимизации стоимости расходов на обслуживание долговых обязательств.</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отчетном периоде кредиты кредитных организаций не привлекались.</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В отчетном периоде привлечен бюджетный кредит на финансовое обеспечение реализации инфраструктурных проектов в сумме </w:t>
      </w:r>
      <w:r>
        <w:rPr>
          <w:rFonts w:ascii="Times New Roman" w:hAnsi="Times New Roman" w:cs="Times New Roman" w:eastAsia="Times New Roman"/>
          <w:b w:val="1"/>
          <w:color w:val="000000"/>
          <w:sz w:val="28"/>
          <w:szCs w:val="28"/>
        </w:rPr>
        <w:t>108 625,0</w:t>
      </w:r>
      <w:r>
        <w:rPr>
          <w:rFonts w:ascii="Times New Roman" w:hAnsi="Times New Roman" w:cs="Times New Roman" w:eastAsia="Times New Roman"/>
          <w:color w:val="000000"/>
          <w:sz w:val="28"/>
          <w:szCs w:val="28"/>
        </w:rPr>
        <w:t> тыс. рублей.</w:t>
      </w:r>
    </w:p>
    <w:p>
      <w:pPr>
        <w:spacing w:before="0" w:after="0" w:beforeAutospacing="0" w:afterAutospacing="0"/>
        <w:ind w:firstLine="0" w:left="0" w:right="0"/>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Раздел 3. «Анализ отчета об исполнении бюджета субъектами бюджетной отчетности»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Анализ отчета об исполнении бюджета приведен в формах:</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Сведениях об исполнении текстовых статей закона (решения) о бюджете (Таблица № 3);</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Сведениях об исполнении бюджета (ф. 0503164);</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Анализ отчета об исполнении бюджета субъектом бюджетной отчетности (Таблица №13);</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Расходы по Министерству за 2024 год исполнены в размере </w:t>
      </w:r>
      <w:r>
        <w:rPr>
          <w:rFonts w:ascii="Times New Roman" w:hAnsi="Times New Roman" w:cs="Times New Roman" w:eastAsia="Times New Roman"/>
          <w:b w:val="1"/>
          <w:color w:val="000000"/>
          <w:sz w:val="28"/>
          <w:szCs w:val="28"/>
        </w:rPr>
        <w:t xml:space="preserve">97,2% </w:t>
      </w:r>
      <w:r>
        <w:rPr>
          <w:rFonts w:ascii="Times New Roman" w:hAnsi="Times New Roman" w:cs="Times New Roman" w:eastAsia="Times New Roman"/>
          <w:color w:val="000000"/>
          <w:sz w:val="28"/>
          <w:szCs w:val="28"/>
        </w:rPr>
        <w:t xml:space="preserve">(Всего утверждено расходов в сумме </w:t>
      </w:r>
      <w:r>
        <w:rPr>
          <w:rFonts w:ascii="Times New Roman" w:hAnsi="Times New Roman" w:cs="Times New Roman" w:eastAsia="Times New Roman"/>
          <w:b w:val="1"/>
          <w:color w:val="000000"/>
          <w:sz w:val="28"/>
          <w:szCs w:val="28"/>
        </w:rPr>
        <w:t>6 644 199,0</w:t>
      </w:r>
      <w:r>
        <w:rPr>
          <w:rFonts w:ascii="Times New Roman" w:hAnsi="Times New Roman" w:cs="Times New Roman" w:eastAsia="Times New Roman"/>
          <w:color w:val="000000"/>
          <w:sz w:val="28"/>
          <w:szCs w:val="28"/>
        </w:rPr>
        <w:t xml:space="preserve"> тыс. рублей, исполнено в сумме </w:t>
      </w:r>
      <w:r>
        <w:rPr>
          <w:rFonts w:ascii="Times New Roman" w:hAnsi="Times New Roman" w:cs="Times New Roman" w:eastAsia="Times New Roman"/>
          <w:b w:val="1"/>
          <w:color w:val="000000"/>
          <w:sz w:val="28"/>
          <w:szCs w:val="28"/>
        </w:rPr>
        <w:t>6 455 959,8</w:t>
      </w:r>
      <w:r>
        <w:rPr>
          <w:rFonts w:ascii="Times New Roman" w:hAnsi="Times New Roman" w:cs="Times New Roman" w:eastAsia="Times New Roman"/>
          <w:color w:val="000000"/>
          <w:sz w:val="28"/>
          <w:szCs w:val="28"/>
        </w:rPr>
        <w:t xml:space="preserve"> тыс. рублей). Исполнение бюджетной сметы по расходам менее 95 % сложилось по следующим разделам, подразделам, целевым статьям:</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-0106 2340220140 «Создание условий для материально-технического обеспечения» – 73,33 % (утверждено </w:t>
      </w:r>
      <w:r>
        <w:rPr>
          <w:rFonts w:ascii="Times New Roman" w:hAnsi="Times New Roman" w:cs="Times New Roman" w:eastAsia="Times New Roman"/>
          <w:b w:val="1"/>
          <w:color w:val="000000"/>
          <w:sz w:val="28"/>
          <w:szCs w:val="28"/>
        </w:rPr>
        <w:t>208,0</w:t>
      </w:r>
      <w:r>
        <w:rPr>
          <w:rFonts w:ascii="Times New Roman" w:hAnsi="Times New Roman" w:cs="Times New Roman" w:eastAsia="Times New Roman"/>
          <w:color w:val="000000"/>
          <w:sz w:val="28"/>
          <w:szCs w:val="28"/>
        </w:rPr>
        <w:t xml:space="preserve"> тыс. рублей, исполнено </w:t>
      </w:r>
      <w:r>
        <w:rPr>
          <w:rFonts w:ascii="Times New Roman" w:hAnsi="Times New Roman" w:cs="Times New Roman" w:eastAsia="Times New Roman"/>
          <w:b w:val="1"/>
          <w:color w:val="000000"/>
          <w:sz w:val="28"/>
          <w:szCs w:val="28"/>
        </w:rPr>
        <w:t>152,5 </w:t>
      </w:r>
      <w:r>
        <w:rPr>
          <w:rFonts w:ascii="Times New Roman" w:hAnsi="Times New Roman" w:cs="Times New Roman" w:eastAsia="Times New Roman"/>
          <w:color w:val="000000"/>
          <w:sz w:val="28"/>
          <w:szCs w:val="28"/>
        </w:rPr>
        <w:t>тыс.</w:t>
      </w:r>
      <w:r>
        <w:rPr>
          <w:rFonts w:ascii="Times New Roman" w:hAnsi="Times New Roman" w:cs="Times New Roman" w:eastAsia="Times New Roman"/>
          <w:color w:val="000000"/>
          <w:sz w:val="24"/>
          <w:szCs w:val="24"/>
        </w:rPr>
        <w:t> </w:t>
      </w:r>
      <w:r>
        <w:rPr>
          <w:rFonts w:ascii="Times New Roman" w:hAnsi="Times New Roman" w:cs="Times New Roman" w:eastAsia="Times New Roman"/>
          <w:color w:val="000000"/>
          <w:sz w:val="28"/>
          <w:szCs w:val="24"/>
        </w:rPr>
        <w:t>рублей) в связи с тем, что при осуществлении закупок образовалась экономия между начальной ценой контракта и после подведения итогов результатов;</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- 0111 8900129990 «Расходы за счет средств резервного фонда Администрации Смоленской области» – 0 % (утверждено 11 291 100,4 тыс. рублей) не распределены средства на конец отчетного года в результате</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8"/>
          <w:szCs w:val="28"/>
        </w:rPr>
        <w:t>отсутствия решений высшего исполнительного органа государственной власти субъекта Российской Федерации об использовании бюджетных ассигнований;</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-1113 9800292060 «Исполнение государственных гарантий Смоленской области по возможным гарантийным случаям» - 0 % (утверждено – 6 334,7) в связи с тем, что в течение года не предъявлялись судебные решения и исполнительные листы (выплаты носят заявительный характер);</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-1403</w:t>
      </w:r>
      <w:r>
        <w:rPr>
          <w:rFonts w:ascii="Times New Roman" w:hAnsi="Times New Roman" w:cs="Times New Roman" w:eastAsia="Times New Roman"/>
          <w:b w:val="1"/>
          <w:color w:val="000000"/>
          <w:sz w:val="28"/>
          <w:szCs w:val="28"/>
        </w:rPr>
        <w:t xml:space="preserve"> </w:t>
      </w:r>
      <w:r>
        <w:rPr>
          <w:rFonts w:ascii="Times New Roman" w:hAnsi="Times New Roman" w:cs="Times New Roman" w:eastAsia="Times New Roman"/>
          <w:color w:val="000000"/>
          <w:sz w:val="28"/>
          <w:szCs w:val="28"/>
        </w:rPr>
        <w:t xml:space="preserve">8900129990 «Расходы за счет резервного фонда Правительства Смоленской области - 76,17% (утверждено – </w:t>
      </w:r>
      <w:r>
        <w:rPr>
          <w:rFonts w:ascii="Times New Roman" w:hAnsi="Times New Roman" w:cs="Times New Roman" w:eastAsia="Times New Roman"/>
          <w:b w:val="1"/>
          <w:color w:val="000000"/>
          <w:sz w:val="28"/>
          <w:szCs w:val="28"/>
        </w:rPr>
        <w:t>276 064,2</w:t>
      </w:r>
      <w:r>
        <w:rPr>
          <w:rFonts w:ascii="Times New Roman" w:hAnsi="Times New Roman" w:cs="Times New Roman" w:eastAsia="Times New Roman"/>
          <w:color w:val="000000"/>
          <w:sz w:val="28"/>
          <w:szCs w:val="28"/>
        </w:rPr>
        <w:t xml:space="preserve"> тыс. рублей, исполнено -</w:t>
      </w:r>
      <w:r>
        <w:rPr>
          <w:rFonts w:ascii="Times New Roman" w:hAnsi="Times New Roman" w:cs="Times New Roman" w:eastAsia="Times New Roman"/>
          <w:b w:val="1"/>
          <w:color w:val="000000"/>
          <w:sz w:val="28"/>
          <w:szCs w:val="28"/>
        </w:rPr>
        <w:t>210 288,6</w:t>
      </w:r>
      <w:r>
        <w:rPr>
          <w:rFonts w:ascii="Times New Roman" w:hAnsi="Times New Roman" w:cs="Times New Roman" w:eastAsia="Times New Roman"/>
          <w:color w:val="000000"/>
          <w:sz w:val="28"/>
          <w:szCs w:val="28"/>
        </w:rPr>
        <w:t xml:space="preserve"> тыс. рублей в связи с тем, что не были выполнены либо некачественно выполнены, предусмотренные распоряжениями Правительства Смоленской области расходные обязательства.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Обслуживание государственного долга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Областным законом «Об областном бюджете на 2024 год и на плановый период 2025 и 2026 годов» предусмотрены бюджетные ассигнования на обслуживание государственного долга в сумме </w:t>
      </w:r>
      <w:r>
        <w:rPr>
          <w:rFonts w:ascii="Times New Roman" w:hAnsi="Times New Roman" w:cs="Times New Roman" w:eastAsia="Times New Roman"/>
          <w:b w:val="1"/>
          <w:color w:val="000000"/>
          <w:sz w:val="28"/>
          <w:szCs w:val="28"/>
        </w:rPr>
        <w:t>77 900,0</w:t>
      </w:r>
      <w:r>
        <w:rPr>
          <w:rFonts w:ascii="Times New Roman" w:hAnsi="Times New Roman" w:cs="Times New Roman" w:eastAsia="Times New Roman"/>
          <w:color w:val="000000"/>
          <w:sz w:val="28"/>
          <w:szCs w:val="28"/>
        </w:rPr>
        <w:t xml:space="preserve"> тыс. рублей.</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Фактически объем расходов на обслуживание государственного долга составил </w:t>
      </w:r>
      <w:r>
        <w:rPr>
          <w:rFonts w:ascii="Times New Roman" w:hAnsi="Times New Roman" w:cs="Times New Roman" w:eastAsia="Times New Roman"/>
          <w:b w:val="1"/>
          <w:color w:val="000000"/>
          <w:sz w:val="28"/>
          <w:szCs w:val="28"/>
        </w:rPr>
        <w:t>75 521,9</w:t>
      </w:r>
      <w:r>
        <w:rPr>
          <w:rFonts w:ascii="Times New Roman" w:hAnsi="Times New Roman" w:cs="Times New Roman" w:eastAsia="Times New Roman"/>
          <w:color w:val="000000"/>
          <w:sz w:val="28"/>
          <w:szCs w:val="28"/>
        </w:rPr>
        <w:t xml:space="preserve"> тыс. рублей (96,9 процента от плановых назначений). Вся сумма расходов на обслуживание государственного долга израсходована на оплату процентов по бюджетным кредитам.</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отчетном периоде расходы на обслуживание государственного долга увеличились в 1,26 раз по сравнению с аналогичным периодом прошлого года (</w:t>
      </w:r>
      <w:r>
        <w:rPr>
          <w:rFonts w:ascii="Times New Roman" w:hAnsi="Times New Roman" w:cs="Times New Roman" w:eastAsia="Times New Roman"/>
          <w:b w:val="1"/>
          <w:color w:val="000000"/>
          <w:sz w:val="28"/>
          <w:szCs w:val="28"/>
        </w:rPr>
        <w:t xml:space="preserve">59 940,6 </w:t>
      </w:r>
      <w:r>
        <w:rPr>
          <w:rFonts w:ascii="Times New Roman" w:hAnsi="Times New Roman" w:cs="Times New Roman" w:eastAsia="Times New Roman"/>
          <w:color w:val="000000"/>
          <w:sz w:val="28"/>
          <w:szCs w:val="28"/>
        </w:rPr>
        <w:t>тыс. рублей).</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p>
    <w:p>
      <w:pPr>
        <w:spacing w:before="0" w:after="0" w:beforeAutospacing="0" w:afterAutospacing="0"/>
        <w:ind w:firstLine="70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 Раздел</w:t>
      </w:r>
      <w:r>
        <w:rPr>
          <w:rFonts w:ascii="Times New Roman" w:hAnsi="Times New Roman" w:cs="Times New Roman" w:eastAsia="Times New Roman"/>
          <w:color w:val="000000"/>
          <w:sz w:val="28"/>
          <w:szCs w:val="28"/>
        </w:rPr>
        <w:t xml:space="preserve"> </w:t>
      </w:r>
      <w:r>
        <w:rPr>
          <w:rFonts w:ascii="Times New Roman" w:hAnsi="Times New Roman" w:cs="Times New Roman" w:eastAsia="Times New Roman"/>
          <w:b w:val="1"/>
          <w:color w:val="000000"/>
          <w:sz w:val="28"/>
          <w:szCs w:val="28"/>
        </w:rPr>
        <w:t>4. «Анализ показателей финансовой отчетности субъекта бюджетной отчетности»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Анализ показателей финансовой отчетности включает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Сведения о движении нефинансовых активов (ф. 0503168);</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xmlns:r="http://schemas.openxmlformats.org/officeDocument/2006/relationships" r:id="R2" w:anchor="P9868">
        <w:r>
          <w:rPr>
            <w:rStyle w:val="C2"/>
            <w:rFonts w:ascii="Times New Roman" w:hAnsi="Times New Roman" w:cs="Times New Roman" w:eastAsia="Times New Roman"/>
            <w:color w:val="000000"/>
            <w:sz w:val="28"/>
            <w:szCs w:val="28"/>
            <w:u w:val="none"/>
          </w:rPr>
          <w:t>(ф. 0503130)</w:t>
        </w:r>
      </w:hyperlink>
      <w:r>
        <w:rPr>
          <w:rFonts w:ascii="Times New Roman" w:hAnsi="Times New Roman" w:cs="Times New Roman" w:eastAsia="Times New Roman"/>
          <w:color w:val="000000"/>
          <w:sz w:val="28"/>
          <w:szCs w:val="28"/>
        </w:rPr>
        <w:t>;</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Сведения по дебиторской и кредиторской задолженности (ф. 0503169);</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Сведения о государственном (муниципальном) долге, предоставленных бюджетных кредитах (ф. 0503172).</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По состоянию на 01.01.2025 года стоимость основных средств, находящихся в оперативном управлении Министерства, составила </w:t>
      </w:r>
      <w:r>
        <w:rPr>
          <w:rFonts w:ascii="Times New Roman" w:hAnsi="Times New Roman" w:cs="Times New Roman" w:eastAsia="Times New Roman"/>
          <w:b w:val="1"/>
          <w:color w:val="000000"/>
          <w:sz w:val="28"/>
          <w:szCs w:val="28"/>
        </w:rPr>
        <w:t>25 339,7</w:t>
      </w:r>
      <w:r>
        <w:rPr>
          <w:rFonts w:ascii="Times New Roman" w:hAnsi="Times New Roman" w:cs="Times New Roman" w:eastAsia="Times New Roman"/>
          <w:color w:val="000000"/>
          <w:sz w:val="28"/>
          <w:szCs w:val="28"/>
        </w:rPr>
        <w:t xml:space="preserve"> тыс. рублей и увеличилась по сравнению с данными по состоянию на 01.01.2024 года на </w:t>
      </w:r>
      <w:r>
        <w:rPr>
          <w:rFonts w:ascii="Times New Roman" w:hAnsi="Times New Roman" w:cs="Times New Roman" w:eastAsia="Times New Roman"/>
          <w:b w:val="1"/>
          <w:color w:val="000000"/>
          <w:sz w:val="28"/>
          <w:szCs w:val="28"/>
        </w:rPr>
        <w:t>32,2</w:t>
      </w:r>
      <w:r>
        <w:rPr>
          <w:rFonts w:ascii="Times New Roman" w:hAnsi="Times New Roman" w:cs="Times New Roman" w:eastAsia="Times New Roman"/>
          <w:color w:val="000000"/>
          <w:sz w:val="28"/>
          <w:szCs w:val="28"/>
        </w:rPr>
        <w:t xml:space="preserve"> тыс. рублей. Всего за 2024 год по Министерству приобретено основных средств на сумму </w:t>
      </w:r>
      <w:r>
        <w:rPr>
          <w:rFonts w:ascii="Times New Roman" w:hAnsi="Times New Roman" w:cs="Times New Roman" w:eastAsia="Times New Roman"/>
          <w:b w:val="1"/>
          <w:color w:val="000000"/>
          <w:sz w:val="28"/>
          <w:szCs w:val="28"/>
        </w:rPr>
        <w:t>151,7</w:t>
      </w:r>
      <w:r>
        <w:rPr>
          <w:rFonts w:ascii="Times New Roman" w:hAnsi="Times New Roman" w:cs="Times New Roman" w:eastAsia="Times New Roman"/>
          <w:color w:val="000000"/>
          <w:sz w:val="28"/>
          <w:szCs w:val="28"/>
        </w:rPr>
        <w:t xml:space="preserve"> тыс. рублей (кресла офисные, чайник). Уменьшение стоимости основных средств на </w:t>
      </w:r>
      <w:r>
        <w:rPr>
          <w:rFonts w:ascii="Times New Roman" w:hAnsi="Times New Roman" w:cs="Times New Roman" w:eastAsia="Times New Roman"/>
          <w:b w:val="1"/>
          <w:color w:val="000000"/>
          <w:sz w:val="28"/>
          <w:szCs w:val="28"/>
        </w:rPr>
        <w:t>119,5</w:t>
      </w:r>
      <w:r>
        <w:rPr>
          <w:rFonts w:ascii="Times New Roman" w:hAnsi="Times New Roman" w:cs="Times New Roman" w:eastAsia="Times New Roman"/>
          <w:color w:val="000000"/>
          <w:sz w:val="28"/>
          <w:szCs w:val="28"/>
        </w:rPr>
        <w:t xml:space="preserve"> тыс. рублей в 2024 году, связано с выведением из состава актива объектов основных средств, не соответствующих статусу актива при проведении годовой инвентаризации и отнесением данных объектов на забалансовый счет 02 «Материальные ценности на хранении» для дальнейшего определения возможности списания или ремонта.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По состоянию на 01.01.2025 </w:t>
      </w:r>
      <w:r>
        <w:rPr>
          <w:rFonts w:ascii="Times New Roman" w:hAnsi="Times New Roman" w:cs="Times New Roman" w:eastAsia="Times New Roman"/>
          <w:b w:val="1"/>
          <w:color w:val="000000"/>
          <w:sz w:val="28"/>
          <w:szCs w:val="28"/>
        </w:rPr>
        <w:t>остаток материальных запасов</w:t>
      </w:r>
      <w:r>
        <w:rPr>
          <w:rFonts w:ascii="Times New Roman" w:hAnsi="Times New Roman" w:cs="Times New Roman" w:eastAsia="Times New Roman"/>
          <w:color w:val="000000"/>
          <w:sz w:val="28"/>
          <w:szCs w:val="28"/>
        </w:rPr>
        <w:t xml:space="preserve"> по Министерству сложился в сумме </w:t>
      </w:r>
      <w:r>
        <w:rPr>
          <w:rFonts w:ascii="Times New Roman" w:hAnsi="Times New Roman" w:cs="Times New Roman" w:eastAsia="Times New Roman"/>
          <w:b w:val="1"/>
          <w:color w:val="000000"/>
          <w:sz w:val="28"/>
          <w:szCs w:val="28"/>
        </w:rPr>
        <w:t xml:space="preserve">757,8 </w:t>
      </w:r>
      <w:r>
        <w:rPr>
          <w:rFonts w:ascii="Times New Roman" w:hAnsi="Times New Roman" w:cs="Times New Roman" w:eastAsia="Times New Roman"/>
          <w:color w:val="000000"/>
          <w:sz w:val="28"/>
          <w:szCs w:val="28"/>
        </w:rPr>
        <w:t xml:space="preserve">тыс. рублей, что на 6,3 тыс. рублей больше по сравнению с данными на 01.01.2024. Всего в 2024 году было приобретено прочих оборотных запасов (материалов) на сумму </w:t>
      </w:r>
      <w:r>
        <w:rPr>
          <w:rFonts w:ascii="Times New Roman" w:hAnsi="Times New Roman" w:cs="Times New Roman" w:eastAsia="Times New Roman"/>
          <w:b w:val="1"/>
          <w:color w:val="000000"/>
          <w:sz w:val="28"/>
          <w:szCs w:val="28"/>
        </w:rPr>
        <w:t>641,2</w:t>
      </w:r>
      <w:r>
        <w:rPr>
          <w:rFonts w:ascii="Times New Roman" w:hAnsi="Times New Roman" w:cs="Times New Roman" w:eastAsia="Times New Roman"/>
          <w:color w:val="000000"/>
          <w:sz w:val="28"/>
          <w:szCs w:val="28"/>
        </w:rPr>
        <w:t xml:space="preserve"> тыс. рублей и материальных запасов однократного применения на сумму </w:t>
      </w:r>
      <w:r>
        <w:rPr>
          <w:rFonts w:ascii="Times New Roman" w:hAnsi="Times New Roman" w:cs="Times New Roman" w:eastAsia="Times New Roman"/>
          <w:b w:val="1"/>
          <w:color w:val="000000"/>
          <w:sz w:val="28"/>
          <w:szCs w:val="28"/>
        </w:rPr>
        <w:t>12,0</w:t>
      </w:r>
      <w:r>
        <w:rPr>
          <w:rFonts w:ascii="Times New Roman" w:hAnsi="Times New Roman" w:cs="Times New Roman" w:eastAsia="Times New Roman"/>
          <w:color w:val="000000"/>
          <w:sz w:val="28"/>
          <w:szCs w:val="28"/>
        </w:rPr>
        <w:t xml:space="preserve"> тыс. рублей, израсходовано материальных запасов - на сумму </w:t>
      </w:r>
      <w:r>
        <w:rPr>
          <w:rFonts w:ascii="Times New Roman" w:hAnsi="Times New Roman" w:cs="Times New Roman" w:eastAsia="Times New Roman"/>
          <w:b w:val="1"/>
          <w:color w:val="000000"/>
          <w:sz w:val="28"/>
          <w:szCs w:val="28"/>
        </w:rPr>
        <w:t>634,9</w:t>
      </w:r>
      <w:r>
        <w:rPr>
          <w:rFonts w:ascii="Times New Roman" w:hAnsi="Times New Roman" w:cs="Times New Roman" w:eastAsia="Times New Roman"/>
          <w:color w:val="000000"/>
          <w:sz w:val="28"/>
          <w:szCs w:val="28"/>
        </w:rPr>
        <w:t xml:space="preserve"> тыс. рублей.</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По состоянию на 01.01.2025 года стоимость </w:t>
      </w:r>
      <w:r>
        <w:rPr>
          <w:rFonts w:ascii="Times New Roman" w:hAnsi="Times New Roman" w:cs="Times New Roman" w:eastAsia="Times New Roman"/>
          <w:b w:val="1"/>
          <w:color w:val="000000"/>
          <w:sz w:val="28"/>
          <w:szCs w:val="28"/>
        </w:rPr>
        <w:t>прав пользования нематериальными активами</w:t>
      </w:r>
      <w:r>
        <w:rPr>
          <w:rFonts w:ascii="Times New Roman" w:hAnsi="Times New Roman" w:cs="Times New Roman" w:eastAsia="Times New Roman"/>
          <w:color w:val="000000"/>
          <w:sz w:val="28"/>
          <w:szCs w:val="28"/>
        </w:rPr>
        <w:t xml:space="preserve"> и </w:t>
      </w:r>
      <w:r>
        <w:rPr>
          <w:rFonts w:ascii="Times New Roman" w:hAnsi="Times New Roman" w:cs="Times New Roman" w:eastAsia="Times New Roman"/>
          <w:b w:val="1"/>
          <w:color w:val="000000"/>
          <w:sz w:val="28"/>
          <w:szCs w:val="28"/>
        </w:rPr>
        <w:t xml:space="preserve">программного обеспечения и баз данных </w:t>
      </w:r>
      <w:r>
        <w:rPr>
          <w:rFonts w:ascii="Times New Roman" w:hAnsi="Times New Roman" w:cs="Times New Roman" w:eastAsia="Times New Roman"/>
          <w:color w:val="000000"/>
          <w:sz w:val="28"/>
          <w:szCs w:val="28"/>
        </w:rPr>
        <w:t>составила</w:t>
      </w:r>
      <w:r>
        <w:rPr>
          <w:rFonts w:ascii="Times New Roman" w:hAnsi="Times New Roman" w:cs="Times New Roman" w:eastAsia="Times New Roman"/>
          <w:b w:val="1"/>
          <w:color w:val="000000"/>
          <w:sz w:val="28"/>
          <w:szCs w:val="28"/>
        </w:rPr>
        <w:t xml:space="preserve"> 928,9</w:t>
      </w:r>
      <w:r>
        <w:rPr>
          <w:rFonts w:ascii="Times New Roman" w:hAnsi="Times New Roman" w:cs="Times New Roman" w:eastAsia="Times New Roman"/>
          <w:color w:val="000000"/>
          <w:sz w:val="28"/>
          <w:szCs w:val="28"/>
        </w:rPr>
        <w:t xml:space="preserve"> тыс. рублей. В составе объектов программного обеспечения на конец отчетного года учитывались программно-аппаратный комплекс «Соболь»; идентификатор iButton; право на использование модуля защиты от НСД и контроля устройств СЗИ Secret Net Studio-C 8; считыватель iButton; установочный комплект «Dr Web Desktop Security Suite»; установочный комплект СЗИ Secret Net Studio-C 8; право на использование программы для ЭВМ «Контур-Экстерн»; программное обеспечение «Турбо-9»; простая неисключительная лицензия на использование Базы данных Справочной системы «Госфинансы»; неисключительное право (лицензия) на ПО РЕД СО Конфигурация «Рабочая станция», неисключительное право на использование программного обеспечения Р7-офис профессиональный (Десктопная версия).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Учет программных продуктов (неисключительные лицензии) для ЭВМ, относящихся к объектам авторских прав и предоставленных Министерству на праве использования в соответствии с заключенными договорами, ведется на счете 11116I000 «Права пользования нематериальными активами.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На забалансовом счете 07 «Награды, призы, кубки и ценные подарки, сувениры» по состоянию на 01.01.2025 учитывались почетные грамоты.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На забалансовом счете 27 «Материальные ценности, выданные в личное пользование работникам (сотрудникам)» учитывались носители контейнера ключа электронной подписи.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Общая сумма </w:t>
      </w:r>
      <w:r>
        <w:rPr>
          <w:rFonts w:ascii="Times New Roman" w:hAnsi="Times New Roman" w:cs="Times New Roman" w:eastAsia="Times New Roman"/>
          <w:b w:val="1"/>
          <w:color w:val="000000"/>
          <w:sz w:val="28"/>
          <w:szCs w:val="28"/>
        </w:rPr>
        <w:t>дебиторской задолженности</w:t>
      </w:r>
      <w:r>
        <w:rPr>
          <w:rFonts w:ascii="Times New Roman" w:hAnsi="Times New Roman" w:cs="Times New Roman" w:eastAsia="Times New Roman"/>
          <w:color w:val="000000"/>
          <w:sz w:val="28"/>
          <w:szCs w:val="28"/>
        </w:rPr>
        <w:t xml:space="preserve"> на 01.01.2025 года составила 9 506 227 3 тыс. рублей и уменьшилась по сравнению с данными на 01.01.2024 на 1 816 708,4 тыс. рублей.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том числе дебиторская задолженность на конец отчетного года сложилась: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 xml:space="preserve">- </w:t>
      </w:r>
      <w:r>
        <w:rPr>
          <w:rFonts w:ascii="Times New Roman" w:hAnsi="Times New Roman" w:cs="Times New Roman" w:eastAsia="Times New Roman"/>
          <w:color w:val="000000"/>
          <w:sz w:val="28"/>
          <w:szCs w:val="28"/>
        </w:rPr>
        <w:t>по счету</w:t>
      </w:r>
      <w:r>
        <w:rPr>
          <w:rFonts w:ascii="Times New Roman" w:hAnsi="Times New Roman" w:cs="Times New Roman" w:eastAsia="Times New Roman"/>
          <w:b w:val="1"/>
          <w:color w:val="000000"/>
          <w:sz w:val="28"/>
          <w:szCs w:val="28"/>
        </w:rPr>
        <w:t xml:space="preserve"> 120551000 «Расчеты по доходам» </w:t>
      </w:r>
      <w:r>
        <w:rPr>
          <w:rFonts w:ascii="Times New Roman" w:hAnsi="Times New Roman" w:cs="Times New Roman" w:eastAsia="Times New Roman"/>
          <w:color w:val="000000"/>
          <w:sz w:val="28"/>
          <w:szCs w:val="28"/>
        </w:rPr>
        <w:t>в сумме 8 489 391,3 тыс. рублей</w:t>
      </w:r>
      <w:r>
        <w:rPr>
          <w:rFonts w:ascii="Times New Roman" w:hAnsi="Times New Roman" w:cs="Times New Roman" w:eastAsia="Times New Roman"/>
          <w:b w:val="1"/>
          <w:color w:val="000000"/>
          <w:sz w:val="28"/>
          <w:szCs w:val="28"/>
        </w:rPr>
        <w:t xml:space="preserve"> </w:t>
      </w:r>
      <w:r>
        <w:rPr>
          <w:rFonts w:ascii="Times New Roman" w:hAnsi="Times New Roman" w:cs="Times New Roman" w:eastAsia="Times New Roman"/>
          <w:color w:val="000000"/>
          <w:sz w:val="28"/>
          <w:szCs w:val="28"/>
        </w:rPr>
        <w:t>отражены доходы от предоставления межбюджетных трансфертов из федерального бюджета в форме дотаций (дотации бюджетам субъектов Российской Федерации на выравнивание бюджетной обеспеченности и дотации бюджетам на частичную компенсацию дополнительных расходов на повышение оплаты труда работников бюджетной сферы и иные цели) и единой субвенции бюджетам субъектов Российской Федерации и бюджету г. Байконура, а также прочие межбюджетные трансферты, передаваемые бюджетам субъектов Российской Федерации, предоставляемые из города Москвы, на 2025-2027 годы;</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по счету </w:t>
      </w:r>
      <w:r>
        <w:rPr>
          <w:rFonts w:ascii="Times New Roman" w:hAnsi="Times New Roman" w:cs="Times New Roman" w:eastAsia="Times New Roman"/>
          <w:b w:val="1"/>
          <w:color w:val="000000"/>
          <w:sz w:val="28"/>
          <w:szCs w:val="28"/>
        </w:rPr>
        <w:t>120529000 «Расчеты по иным доходам от собственности»</w:t>
      </w:r>
      <w:r>
        <w:rPr>
          <w:rFonts w:ascii="Times New Roman" w:hAnsi="Times New Roman" w:cs="Times New Roman" w:eastAsia="Times New Roman"/>
          <w:color w:val="000000"/>
          <w:sz w:val="28"/>
          <w:szCs w:val="28"/>
        </w:rPr>
        <w:t xml:space="preserve"> в сумме 1 016 836,0 тыс. рублей отражены доходы, полученные от размещения временно свободных средств единого казначейского счета.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Просроченная дебиторская задолженность по состоянию на 01.01.2025 отсутствовала.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Общая сумма </w:t>
      </w:r>
      <w:r>
        <w:rPr>
          <w:rFonts w:ascii="Times New Roman" w:hAnsi="Times New Roman" w:cs="Times New Roman" w:eastAsia="Times New Roman"/>
          <w:b w:val="1"/>
          <w:color w:val="000000"/>
          <w:sz w:val="28"/>
          <w:szCs w:val="28"/>
        </w:rPr>
        <w:t>кредиторской задолженности</w:t>
      </w:r>
      <w:r>
        <w:rPr>
          <w:rFonts w:ascii="Times New Roman" w:hAnsi="Times New Roman" w:cs="Times New Roman" w:eastAsia="Times New Roman"/>
          <w:color w:val="000000"/>
          <w:sz w:val="28"/>
          <w:szCs w:val="28"/>
        </w:rPr>
        <w:t xml:space="preserve"> на 01.01.2025 года составила 52,4 тыс. рублей и увеличилась по сравнению с данными на 01.01.2024 на 47,7 тыс. рублей, в том числе:</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r>
        <w:rPr>
          <w:rFonts w:ascii="Times New Roman" w:hAnsi="Times New Roman" w:cs="Times New Roman" w:eastAsia="Times New Roman"/>
          <w:color w:val="000000"/>
          <w:sz w:val="28"/>
          <w:szCs w:val="28"/>
        </w:rPr>
        <w:t xml:space="preserve">- по счету </w:t>
      </w:r>
      <w:r>
        <w:rPr>
          <w:rFonts w:ascii="Times New Roman" w:hAnsi="Times New Roman" w:cs="Times New Roman" w:eastAsia="Times New Roman"/>
          <w:b w:val="1"/>
          <w:color w:val="000000"/>
          <w:sz w:val="28"/>
          <w:szCs w:val="28"/>
        </w:rPr>
        <w:t>130221000</w:t>
      </w:r>
      <w:r>
        <w:rPr>
          <w:rFonts w:ascii="Times New Roman" w:hAnsi="Times New Roman" w:cs="Times New Roman" w:eastAsia="Times New Roman"/>
          <w:color w:val="000000"/>
          <w:sz w:val="28"/>
          <w:szCs w:val="28"/>
        </w:rPr>
        <w:t xml:space="preserve"> </w:t>
      </w:r>
      <w:r>
        <w:rPr>
          <w:rFonts w:ascii="Times New Roman" w:hAnsi="Times New Roman" w:cs="Times New Roman" w:eastAsia="Times New Roman"/>
          <w:b w:val="1"/>
          <w:color w:val="000000"/>
          <w:sz w:val="28"/>
          <w:szCs w:val="28"/>
        </w:rPr>
        <w:t xml:space="preserve">«Расчеты по услугам связи» </w:t>
      </w:r>
      <w:r>
        <w:rPr>
          <w:rFonts w:ascii="Times New Roman" w:hAnsi="Times New Roman" w:cs="Times New Roman" w:eastAsia="Times New Roman"/>
          <w:color w:val="000000"/>
          <w:sz w:val="28"/>
          <w:szCs w:val="28"/>
        </w:rPr>
        <w:t>на сумму 5,4 тыс. рублей отражена задолженность за оказанные в декабре 2024 года услуги почтовой и фельдъегерской связи (оплачены в январе 2025 года);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по счету </w:t>
      </w:r>
      <w:r>
        <w:rPr>
          <w:rFonts w:ascii="Times New Roman" w:hAnsi="Times New Roman" w:cs="Times New Roman" w:eastAsia="Times New Roman"/>
          <w:b w:val="1"/>
          <w:color w:val="000000"/>
          <w:sz w:val="28"/>
          <w:szCs w:val="28"/>
        </w:rPr>
        <w:t>120581000 «Расчеты по невыясненным поступлениям»</w:t>
      </w:r>
      <w:r>
        <w:rPr>
          <w:rFonts w:ascii="Times New Roman" w:hAnsi="Times New Roman" w:cs="Times New Roman" w:eastAsia="Times New Roman"/>
          <w:color w:val="000000"/>
          <w:sz w:val="28"/>
          <w:szCs w:val="28"/>
        </w:rPr>
        <w:t xml:space="preserve"> на сумму 47,0 тыс. рублей отражены суммы невыясненных поступлений, подлежащих уточнению, поступивших в конце финансового года (уточнены в январе 2025 года).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Просроченная кредиторская задолженность по состоянию на 01.01.2025 отсутствовала.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по счету </w:t>
      </w:r>
      <w:r>
        <w:rPr>
          <w:rFonts w:ascii="Times New Roman" w:hAnsi="Times New Roman" w:cs="Times New Roman" w:eastAsia="Times New Roman"/>
          <w:b w:val="1"/>
          <w:color w:val="000000"/>
          <w:sz w:val="28"/>
          <w:szCs w:val="28"/>
        </w:rPr>
        <w:t>140160000</w:t>
      </w:r>
      <w:r>
        <w:rPr>
          <w:rFonts w:ascii="Times New Roman" w:hAnsi="Times New Roman" w:cs="Times New Roman" w:eastAsia="Times New Roman"/>
          <w:color w:val="000000"/>
          <w:sz w:val="28"/>
          <w:szCs w:val="28"/>
        </w:rPr>
        <w:t xml:space="preserve"> «</w:t>
      </w:r>
      <w:r>
        <w:rPr>
          <w:rFonts w:ascii="Times New Roman" w:hAnsi="Times New Roman" w:cs="Times New Roman" w:eastAsia="Times New Roman"/>
          <w:b w:val="1"/>
          <w:color w:val="000000"/>
          <w:sz w:val="28"/>
          <w:szCs w:val="28"/>
        </w:rPr>
        <w:t>Резервы предстоящих расходов</w:t>
      </w:r>
      <w:r>
        <w:rPr>
          <w:rFonts w:ascii="Times New Roman" w:hAnsi="Times New Roman" w:cs="Times New Roman" w:eastAsia="Times New Roman"/>
          <w:color w:val="000000"/>
          <w:sz w:val="28"/>
          <w:szCs w:val="28"/>
        </w:rPr>
        <w:t>» – на сумму 5 999,0 тыс.</w:t>
      </w:r>
      <w:r>
        <w:rPr>
          <w:rFonts w:ascii="Times New Roman" w:hAnsi="Times New Roman" w:cs="Times New Roman" w:eastAsia="Times New Roman"/>
          <w:color w:val="000000"/>
          <w:sz w:val="24"/>
          <w:szCs w:val="24"/>
        </w:rPr>
        <w:t> </w:t>
      </w:r>
      <w:r>
        <w:rPr>
          <w:rFonts w:ascii="Times New Roman" w:hAnsi="Times New Roman" w:cs="Times New Roman" w:eastAsia="Times New Roman"/>
          <w:color w:val="000000"/>
          <w:sz w:val="28"/>
          <w:szCs w:val="24"/>
        </w:rPr>
        <w:t>рублей отражен резерв на оплату отпусков и резерв страховых взносов на выплаты по оплате труда на 2025 год согласно графику отпусков работников Министерства. В отчете о бюджетных обязательствах (ф. 0503128</w:t>
      </w:r>
      <w:r>
        <w:rPr>
          <w:rFonts w:ascii="Times New Roman" w:hAnsi="Times New Roman" w:cs="Times New Roman" w:eastAsia="Times New Roman"/>
          <w:b w:val="1"/>
          <w:color w:val="000000"/>
          <w:sz w:val="28"/>
          <w:szCs w:val="24"/>
        </w:rPr>
        <w:t>)</w:t>
      </w:r>
      <w:r>
        <w:rPr>
          <w:rFonts w:ascii="Times New Roman" w:hAnsi="Times New Roman" w:cs="Times New Roman" w:eastAsia="Times New Roman"/>
          <w:color w:val="000000"/>
          <w:sz w:val="28"/>
          <w:szCs w:val="24"/>
        </w:rPr>
        <w:t xml:space="preserve"> в разделе «Обязательства финансовых годов, следующих за текущим (отчетным) финансовым годом» по графе 7 «Принятые бюджетные обязательства всего» отражены поставленные на учет оценочные обязательства на сумму резервов предстоящих расходов на оплату отпусков за фактически отработанное время или компенсаций за неиспользованный отпуск, включая платежи на обязательное социальное страхование;</w:t>
      </w:r>
    </w:p>
    <w:p>
      <w:pPr>
        <w:spacing w:before="0" w:after="0" w:beforeAutospacing="0" w:afterAutospacing="0"/>
        <w:ind w:firstLine="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xml:space="preserve">- по счету </w:t>
      </w:r>
      <w:r>
        <w:rPr>
          <w:rFonts w:ascii="Times New Roman" w:hAnsi="Times New Roman" w:cs="Times New Roman" w:eastAsia="Times New Roman"/>
          <w:b w:val="1"/>
          <w:color w:val="000000"/>
          <w:sz w:val="28"/>
          <w:szCs w:val="28"/>
        </w:rPr>
        <w:t>140149000 «Доходы будущих периодов к признанию в очередные годы»</w:t>
      </w:r>
      <w:r>
        <w:rPr>
          <w:rFonts w:ascii="Times New Roman" w:hAnsi="Times New Roman" w:cs="Times New Roman" w:eastAsia="Times New Roman"/>
          <w:color w:val="000000"/>
          <w:sz w:val="28"/>
          <w:szCs w:val="28"/>
        </w:rPr>
        <w:t xml:space="preserve"> на сумму 8 489 391,3 тыс. рублей отражены начисленные доходы от предоставления межбюджетных трансфертов из федерального бюджета в форме дотаций и единой субвенции бюджетам субъектов Российской Федерации и бюджету г. Байконура (предоставляемых без условий и с условиями) передачи активов, а также прочие межбюджетные трансферты, передаваемые бюджетам субъектов Российской Федерации из бюджета г. Москвы согласно объему безвозмездных поступлений областного закона от 19.12.2024 № 225-з «Об областном бюджете на 2025 год и на плановый период 2026 и 2027 годов».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По состоянию на 01.01.2025 года общая задолженность муниципальных образований перед Министерством по предоставленным бюджетным кредитам составила 1 512 748 ,7</w:t>
      </w:r>
      <w:r>
        <w:rPr>
          <w:rFonts w:ascii="Times New Roman" w:hAnsi="Times New Roman" w:cs="Times New Roman" w:eastAsia="Times New Roman"/>
          <w:b w:val="1"/>
          <w:color w:val="000000"/>
          <w:sz w:val="28"/>
          <w:szCs w:val="28"/>
        </w:rPr>
        <w:t xml:space="preserve"> </w:t>
      </w:r>
      <w:r>
        <w:rPr>
          <w:rFonts w:ascii="Times New Roman" w:hAnsi="Times New Roman" w:cs="Times New Roman" w:eastAsia="Times New Roman"/>
          <w:color w:val="000000"/>
          <w:sz w:val="28"/>
          <w:szCs w:val="28"/>
        </w:rPr>
        <w:t>тыс. рублей.  </w:t>
      </w:r>
    </w:p>
    <w:p>
      <w:pPr>
        <w:spacing w:before="0" w:after="0" w:beforeAutospacing="0" w:afterAutospacing="0"/>
        <w:ind w:firstLine="70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 </w:t>
      </w:r>
    </w:p>
    <w:p>
      <w:pPr>
        <w:spacing w:before="0" w:after="0" w:beforeAutospacing="0" w:afterAutospacing="0"/>
        <w:ind w:firstLine="70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Долговая политика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Объем государственного долга Смоленской области по состоянию на 01.01.2025 составил 24 262 152,6 тыс. рублей и уменьшился по сравнению с предыдущим годом на 1 032 733,0 тыс. рублей. В объем государственного долга входит задолженность по бюджетным кредитам, полученным за счет средств федерального бюджета – 22 185 290,4</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8"/>
          <w:szCs w:val="28"/>
        </w:rPr>
        <w:t xml:space="preserve">тыс. рублей (или 91,4 % от объема государственного долга), в том числе: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9 087 299,7 тыс. рублей – для частичного покрытия дефицита областного бюджета;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2 150 285,1 тыс. рублей –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2 250 000,0 тыс. рублей – для погашения бюджетных кредитов на пополнение остатков средств на счетах бюджетов субъектов Российской Федерации;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3 605 855,0 тыс. рублей – для погашения долговых обязательств по рыночным заимствованиям субъекта Российской Федерации и муниципальных образований (кредиты 2021 года);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3 282 756,2 тыс. рублей - для погашения долговых обязательств по рыночным заимствованиям субъекта Российской Федерации и муниципальных образований (кредиты 2022 года);</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839 896,4 тыс. рублей – инфраструктурные бюджетные кредиты;</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969 198,0 тыс. рублей – специальные казначейские кредиты.</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Также в объем государственного долга Смоленской области входят обязательства по государственным гарантиям Смоленской области в сумме 2 076 862,2 тыс. рублей (8,6% от объема государственного долга).</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 </w:t>
      </w:r>
    </w:p>
    <w:p>
      <w:pPr>
        <w:spacing w:before="0" w:after="0" w:beforeAutospacing="0" w:afterAutospacing="0"/>
        <w:ind w:firstLine="0" w:left="0" w:right="0"/>
        <w:jc w:val="center"/>
        <w:outlineLvl w:val="9"/>
        <w:rPr>
          <w:rFonts w:ascii="Times New Roman" w:hAnsi="Times New Roman" w:cs="Times New Roman" w:eastAsia="Times New Roman"/>
          <w:color w:val="000000"/>
          <w:sz w:val="24"/>
        </w:rPr>
      </w:pPr>
      <w:r>
        <w:rPr>
          <w:rFonts w:ascii="Times New Roman" w:hAnsi="Times New Roman" w:cs="Times New Roman" w:eastAsia="Times New Roman"/>
          <w:b w:val="1"/>
          <w:color w:val="000000"/>
          <w:sz w:val="28"/>
          <w:szCs w:val="28"/>
        </w:rPr>
        <w:t>Раздел 5 «Прочие вопросы деятельности субъекта бюджетной отчетности»</w:t>
      </w:r>
      <w:r>
        <w:rPr>
          <w:rFonts w:ascii="Times New Roman" w:hAnsi="Times New Roman" w:cs="Times New Roman" w:eastAsia="Times New Roman"/>
          <w:color w:val="000000"/>
          <w:sz w:val="24"/>
          <w:szCs w:val="24"/>
        </w:rPr>
        <w:t> </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Прочие вопросы деятельности субъекта бюджетной отчетности (Таблица №16);</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В 2024 году были проведены следующие инвентаризации:</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1. С целью проведения аналитического учета расчетов в соответствие требованиям приказа Министерства финансов Российской Федерации от 01.12.2010 № 157н «Об утверждении Единого плана счетов бухгалтерского учета для органов государственной</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8"/>
          <w:szCs w:val="28"/>
        </w:rPr>
        <w:t>власти</w:t>
      </w:r>
      <w:r>
        <w:rPr>
          <w:rFonts w:ascii="Times New Roman" w:hAnsi="Times New Roman" w:cs="Times New Roman" w:eastAsia="Times New Roman"/>
          <w:color w:val="000000"/>
          <w:sz w:val="24"/>
          <w:szCs w:val="24"/>
        </w:rPr>
        <w:t xml:space="preserve"> </w:t>
      </w:r>
      <w:r>
        <w:rPr>
          <w:rFonts w:ascii="Times New Roman" w:hAnsi="Times New Roman" w:cs="Times New Roman" w:eastAsia="Times New Roman"/>
          <w:color w:val="000000"/>
          <w:sz w:val="28"/>
          <w:szCs w:val="28"/>
        </w:rPr>
        <w:t>(государственных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выявления просроченной задолженности и факторов, влияющих на ее образование, а также раскрытие достоверной информации в бюджетной отчетности на 1 января  2025 года согласно приказу № 93 от 13.11.2024 «О проведении инвентаризации активов и обязательств в Министерстве финансов Смоленской области», решению № 1 от 13.11.2024 </w:t>
      </w:r>
      <w:r>
        <w:rPr>
          <w:rFonts w:ascii="Times New Roman" w:hAnsi="Times New Roman" w:cs="Times New Roman" w:eastAsia="Times New Roman"/>
          <w:color w:val="000000"/>
          <w:sz w:val="22"/>
          <w:szCs w:val="22"/>
        </w:rPr>
        <w:t>«О проведении инвентаризации»</w:t>
      </w:r>
      <w:r>
        <w:rPr>
          <w:rFonts w:ascii="Times New Roman" w:hAnsi="Times New Roman" w:cs="Times New Roman" w:eastAsia="Times New Roman"/>
          <w:color w:val="FF0000"/>
          <w:sz w:val="28"/>
          <w:szCs w:val="28"/>
        </w:rPr>
        <w:t> </w:t>
      </w:r>
      <w:r>
        <w:rPr>
          <w:rFonts w:ascii="Times New Roman" w:hAnsi="Times New Roman" w:cs="Times New Roman" w:eastAsia="Times New Roman"/>
          <w:color w:val="000000"/>
          <w:sz w:val="28"/>
          <w:szCs w:val="28"/>
        </w:rPr>
        <w:t>в период с 19 ноября 2024 года по 02 декабря 2024 года была проведена инвентаризация доходам, расчетов по предоставленным бюджетным кредитам, расчетов с кредиторами по долговым обязательствам, расчетов по принятым обязательствам, расчетов по платежам в бюджеты, по расходам будущих периодов, по резервам предстоящих расходов и по счетам санкционирования расходов бюджета (отложенным обязательствам). Данные бюджетного учета по вышеперечисленным расчетам соответствуют первичным документам, актам сверок с дебиторами, кредиторами, данным Долговой книги Смоленской области, объему прогнозируемых безвозмездных поступлений в областной бюджет и распределению бюджетных ассигнований областного закона от 19.12.2024 № 225-з «Об областном бюджете на 2025 год и на плановый период 2026 и 2027 годов».</w:t>
      </w:r>
      <w:r>
        <w:rPr>
          <w:rFonts w:ascii="Times New Roman" w:hAnsi="Times New Roman" w:cs="Times New Roman" w:eastAsia="Times New Roman"/>
          <w:color w:val="000000"/>
          <w:sz w:val="16"/>
          <w:szCs w:val="16"/>
        </w:rPr>
        <w:t xml:space="preserve"> </w:t>
      </w:r>
      <w:r>
        <w:rPr>
          <w:rFonts w:ascii="Times New Roman" w:hAnsi="Times New Roman" w:cs="Times New Roman" w:eastAsia="Times New Roman"/>
          <w:color w:val="000000"/>
          <w:sz w:val="28"/>
          <w:szCs w:val="28"/>
        </w:rPr>
        <w:t>Данные бюджетного учета соответствуют первичным документам. Просроченной задолженности по перечисленным расчетам не установлено.</w:t>
      </w:r>
    </w:p>
    <w:p>
      <w:pPr>
        <w:spacing w:before="0" w:after="0" w:beforeAutospacing="0" w:afterAutospacing="0"/>
        <w:ind w:firstLine="700" w:left="0" w:right="0"/>
        <w:jc w:val="both"/>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8"/>
          <w:szCs w:val="28"/>
        </w:rPr>
        <w:t>2. Согласно приказу № 93 от 13.11.2024 «О проведении инвентаризации активов и обязательств в Министерстве финансов Смоленской области», решению № 1 от 13.11.2024 </w:t>
      </w:r>
      <w:r>
        <w:rPr>
          <w:rFonts w:ascii="Times New Roman" w:hAnsi="Times New Roman" w:cs="Times New Roman" w:eastAsia="Times New Roman"/>
          <w:color w:val="000000"/>
          <w:sz w:val="22"/>
          <w:szCs w:val="22"/>
        </w:rPr>
        <w:t>«О проведении инвентаризации»</w:t>
      </w:r>
      <w:r>
        <w:rPr>
          <w:rFonts w:ascii="Times New Roman" w:hAnsi="Times New Roman" w:cs="Times New Roman" w:eastAsia="Times New Roman"/>
          <w:color w:val="000000"/>
          <w:sz w:val="28"/>
          <w:szCs w:val="28"/>
        </w:rPr>
        <w:t> в период с 19 ноября 2024 года по 02 декабря 2024 года была проведена инвентаризация основных средств, основных средств стоимостью до 10 000 рублей (до 01.01.2018 стоимостью до 3 000 рублей) включительно, в эксплуатации, материальных запасов, денежных средств, бланков строгой отчетности, прав пользования программным обеспечением и базами данных, имущества полученного в пользование. Расхождений между данными бухгалтерского учета и данными инвентаризационной комиссии не выявлено. Признаков обесценения нефинансовых активов инвентаризационной комиссией не выявлено.</w:t>
      </w:r>
    </w:p>
    <w:p>
      <w:pPr>
        <w:spacing w:before="0" w:after="0" w:beforeAutospacing="0" w:afterAutospacing="0"/>
        <w:ind w:firstLine="0" w:left="0" w:right="0"/>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0" w:left="0" w:right="0"/>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0" w:left="0" w:right="0"/>
        <w:outlineLvl w:val="9"/>
        <w:rPr>
          <w:rFonts w:ascii="Times New Roman" w:hAnsi="Times New Roman" w:cs="Times New Roman" w:eastAsia="Times New Roman"/>
          <w:color w:val="000000"/>
          <w:sz w:val="24"/>
        </w:rPr>
      </w:pPr>
      <w:r>
        <w:rPr>
          <w:rFonts w:ascii="Times New Roman" w:hAnsi="Times New Roman" w:cs="Times New Roman" w:eastAsia="Times New Roman"/>
          <w:color w:val="000000"/>
          <w:sz w:val="24"/>
          <w:szCs w:val="24"/>
        </w:rPr>
        <w:t> </w:t>
      </w:r>
    </w:p>
    <w:p>
      <w:pPr>
        <w:spacing w:before="0" w:after="0" w:beforeAutospacing="0" w:afterAutospacing="0"/>
        <w:ind w:firstLine="0" w:left="0" w:right="0"/>
        <w:outlineLvl w:val="9"/>
      </w:pPr>
      <w:r>
        <w:t> </w:t>
      </w:r>
    </w:p>
    <w:p>
      <w:pPr>
        <w:spacing w:before="0" w:after="0" w:beforeAutospacing="0" w:afterAutospacing="0"/>
        <w:ind w:firstLine="0" w:left="0" w:right="0"/>
        <w:outlineLvl w:val="9"/>
        <w:rPr>
          <w:rFonts w:ascii="Times New Roman" w:hAnsi="Times New Roman" w:cs="Times New Roman" w:eastAsia="Times New Roman"/>
          <w:sz w:val="24"/>
        </w:rPr>
      </w:pPr>
      <w:r>
        <w:rPr>
          <w:rFonts w:ascii="Times New Roman" w:hAnsi="Times New Roman" w:cs="Times New Roman" w:eastAsia="Times New Roman"/>
          <w:sz w:val="24"/>
          <w:szCs w:val="24"/>
        </w:rPr>
        <w:t> </w:t>
      </w:r>
    </w:p>
    <w:tbl>
      <w:tblPr>
        <w:tblW w:w="9380" w:type="dxa"/>
        <w:tblInd w:w="96" w:type="dxa"/>
        <w:tblBorders>
          <w:top w:val="none" w:sz="0" w:space="0" w:shadow="0" w:frame="0" w:color="000000"/>
          <w:left w:val="none" w:sz="0" w:space="0" w:shadow="0" w:frame="0" w:color="000000"/>
          <w:bottom w:val="none" w:sz="0" w:space="0" w:shadow="0" w:frame="0" w:color="000000"/>
          <w:right w:val="none" w:sz="0" w:space="0" w:shadow="0" w:frame="0" w:color="000000"/>
          <w:insideH w:val="none" w:sz="0" w:space="0" w:shadow="0" w:frame="0" w:color="auto"/>
          <w:insideV w:val="none" w:sz="0" w:space="0" w:shadow="0" w:frame="0" w:color="auto"/>
        </w:tblBorders>
        <w:tblLayout w:type="autofit"/>
        <w:tblCellMar>
          <w:top w:w="0" w:type="dxa"/>
          <w:left w:w="0" w:type="dxa"/>
          <w:bottom w:w="0" w:type="dxa"/>
          <w:right w:w="0" w:type="dxa"/>
        </w:tblCellMar>
      </w:tblPr>
      <w:tblGrid/>
      <w:t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w:t>
            </w:r>
          </w:p>
        </w:tc>
        <w:tc>
          <w:tcPr>
            <w:tcW w:w="204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28600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dpi="0">
                          <a:blip xmlns:r="http://schemas.openxmlformats.org/officeDocument/2006/relationships" r:embed="Relimage1"/>
                          <a:srcRect/>
                          <a:stretch>
                            <a:fillRect/>
                          </a:stretch>
                        </pic:blipFill>
                        <pic:spPr>
                          <a:xfrm>
                            <a:off x="0" y="0"/>
                            <a:ext cx="2286000" cy="762000"/>
                          </a:xfrm>
                          <a:prstGeom prst="rect"/>
                          <a:noFill/>
                        </pic:spPr>
                      </pic:pic>
                    </a:graphicData>
                  </a:graphic>
                </wp:inline>
              </w:drawing>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u w:val="single"/>
              </w:rPr>
              <w:t>Савина Инна Анатольевна</w:t>
            </w:r>
          </w:p>
        </w:tc>
      </w:tr>
      <w:tr>
        <w:trPr>
          <w:trHeight w:hRule="atLeast" w:val="280"/>
        </w:trPr>
        <w:tc>
          <w:tcPr>
            <w:tcW w:w="3570" w:type="dxa"/>
            <w:noWrap/>
            <w:tcMar>
              <w:top w:w="0" w:type="dxa"/>
              <w:left w:w="108" w:type="dxa"/>
              <w:bottom w:w="0" w:type="dxa"/>
              <w:right w:w="108" w:type="dxa"/>
            </w:tcMar>
            <w:vAlign w:val="bottom"/>
            <w:hideMark/>
          </w:tcPr>
          <w:p>
            <w:pPr>
              <w:ind w:left="0" w:right="0"/>
              <w:rPr>
                <w:sz w:val="24"/>
              </w:rPr>
            </w:pP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 </w:t>
            </w: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Руководитель планово-</w:t>
            </w:r>
          </w:p>
        </w:tc>
        <w:tc>
          <w:tcPr>
            <w:tcW w:w="2040" w:type="dxa"/>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экономической службы</w:t>
            </w: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281"/>
        </w:trPr>
        <w:tc>
          <w:tcPr>
            <w:tcW w:w="0" w:type="auto"/>
            <w:gridSpan w:val="3"/>
            <w:noWrap/>
            <w:tcMar>
              <w:top w:w="0" w:type="dxa"/>
              <w:left w:w="108" w:type="dxa"/>
              <w:bottom w:w="0" w:type="dxa"/>
              <w:right w:w="108" w:type="dxa"/>
            </w:tcMar>
            <w:vAlign w:val="bottom"/>
            <w:hideMark/>
          </w:tcPr>
          <w:p>
            <w:pPr>
              <w:ind w:left="0" w:right="0"/>
              <w:rPr>
                <w:sz w:val="24"/>
              </w:rPr>
            </w:pP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Главный</w:t>
            </w:r>
          </w:p>
        </w:tc>
        <w:tc>
          <w:tcPr>
            <w:tcW w:w="204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drawing>
                <wp:inline xmlns:wp="http://schemas.openxmlformats.org/drawingml/2006/wordprocessingDrawing" distT="0" distB="0" distL="0" distR="0">
                  <wp:extent cx="2286000" cy="76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dpi="0">
                          <a:blip xmlns:r="http://schemas.openxmlformats.org/officeDocument/2006/relationships" r:embed="Relimage2"/>
                          <a:srcRect/>
                          <a:stretch>
                            <a:fillRect/>
                          </a:stretch>
                        </pic:blipFill>
                        <pic:spPr>
                          <a:xfrm>
                            <a:off x="0" y="0"/>
                            <a:ext cx="2286000" cy="762000"/>
                          </a:xfrm>
                          <a:prstGeom prst="rect"/>
                          <a:noFill/>
                        </pic:spPr>
                      </pic:pic>
                    </a:graphicData>
                  </a:graphic>
                </wp:inline>
              </w:drawing>
            </w:r>
          </w:p>
        </w:tc>
        <w:tc>
          <w:tcPr>
            <w:tcW w:w="0" w:type="auto"/>
            <w:noWrap/>
            <w:tcMar>
              <w:top w:w="0" w:type="dxa"/>
              <w:left w:w="108" w:type="dxa"/>
              <w:bottom w:w="0" w:type="dxa"/>
              <w:right w:w="108" w:type="dxa"/>
            </w:tcMar>
            <w:vAlign w:val="bottom"/>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u w:val="single"/>
              </w:rPr>
              <w:t>Чен-Цзи-О Светлана Сергеевна</w:t>
            </w:r>
          </w:p>
        </w:tc>
      </w:tr>
      <w:tr>
        <w:trPr>
          <w:trHeight w:hRule="atLeast" w:val="281"/>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бухгалтер</w:t>
            </w:r>
          </w:p>
        </w:tc>
        <w:tc>
          <w:tcPr>
            <w:tcW w:w="2040" w:type="dxa"/>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(подпись)</w:t>
            </w:r>
          </w:p>
        </w:tc>
        <w:tc>
          <w:tcPr>
            <w:tcW w:w="0" w:type="auto"/>
            <w:tcMar>
              <w:top w:w="0" w:type="dxa"/>
              <w:left w:w="108" w:type="dxa"/>
              <w:bottom w:w="0" w:type="dxa"/>
              <w:right w:w="108" w:type="dxa"/>
            </w:tcMar>
            <w:vAlign w:val="center"/>
            <w:hideMark/>
          </w:tcPr>
          <w:p>
            <w:pPr>
              <w:spacing w:before="0" w:after="0" w:beforeAutospacing="0" w:afterAutospacing="0"/>
              <w:ind w:left="0" w:right="0"/>
              <w:jc w:val="center"/>
              <w:rPr>
                <w:rFonts w:ascii="Times New Roman" w:hAnsi="Times New Roman" w:cs="Times New Roman" w:eastAsia="Times New Roman"/>
                <w:sz w:val="24"/>
              </w:rPr>
            </w:pPr>
            <w:r>
              <w:rPr>
                <w:rFonts w:ascii="Times New Roman" w:hAnsi="Times New Roman" w:cs="Times New Roman" w:eastAsia="Times New Roman"/>
                <w:sz w:val="20"/>
                <w:szCs w:val="20"/>
              </w:rPr>
              <w:t>(расшифровка подписи)</w:t>
            </w:r>
          </w:p>
        </w:tc>
      </w:tr>
      <w:tr>
        <w:trPr>
          <w:trHeight w:hRule="atLeast" w:val="449"/>
        </w:trPr>
        <w:tc>
          <w:tcPr>
            <w:tcW w:w="3570" w:type="dxa"/>
            <w:tcMar>
              <w:top w:w="0" w:type="dxa"/>
              <w:left w:w="108" w:type="dxa"/>
              <w:bottom w:w="0" w:type="dxa"/>
              <w:right w:w="108" w:type="dxa"/>
            </w:tcMar>
            <w:vAlign w:val="center"/>
            <w:hideMark/>
          </w:tcPr>
          <w:p>
            <w:pPr>
              <w:spacing w:before="0" w:after="0" w:beforeAutospacing="0" w:afterAutospacing="0"/>
              <w:ind w:left="0" w:right="0"/>
              <w:rPr>
                <w:rFonts w:ascii="Times New Roman" w:hAnsi="Times New Roman" w:cs="Times New Roman" w:eastAsia="Times New Roman"/>
                <w:sz w:val="24"/>
              </w:rPr>
            </w:pPr>
            <w:r>
              <w:rPr>
                <w:rFonts w:ascii="Times New Roman" w:hAnsi="Times New Roman" w:cs="Times New Roman" w:eastAsia="Times New Roman"/>
                <w:sz w:val="20"/>
                <w:szCs w:val="20"/>
              </w:rPr>
              <w:t>"____"   ____________ 20____г.</w:t>
            </w:r>
          </w:p>
        </w:tc>
        <w:tc>
          <w:tcPr>
            <w:tcW w:w="0" w:type="auto"/>
            <w:tcMar>
              <w:top w:w="0" w:type="dxa"/>
              <w:left w:w="108" w:type="dxa"/>
              <w:bottom w:w="0" w:type="dxa"/>
              <w:right w:w="108" w:type="dxa"/>
            </w:tcMar>
            <w:vAlign w:val="center"/>
            <w:hideMark/>
          </w:tcPr>
          <w:p>
            <w:pPr>
              <w:ind w:left="0" w:right="0"/>
              <w:rPr>
                <w:sz w:val="24"/>
              </w:rPr>
            </w:pPr>
          </w:p>
        </w:tc>
        <w:tc>
          <w:tcPr>
            <w:tcW w:w="0" w:type="auto"/>
            <w:tcMar>
              <w:top w:w="0" w:type="dxa"/>
              <w:left w:w="108" w:type="dxa"/>
              <w:bottom w:w="0" w:type="dxa"/>
              <w:right w:w="108" w:type="dxa"/>
            </w:tcMar>
            <w:vAlign w:val="center"/>
            <w:hideMark/>
          </w:tcPr>
          <w:p>
            <w:pPr>
              <w:ind w:left="0" w:right="0"/>
              <w:rPr>
                <w:sz w:val="24"/>
              </w:rPr>
            </w:pPr>
          </w:p>
        </w:tc>
      </w:tr>
    </w:tbl>
    <w:p>
      <w:r>
        <w:rPr>
          <w:rFonts w:ascii="Times New Roman" w:hAnsi="Times New Roman" w:cs="Times New Roman" w:eastAsia="Times New Roman"/>
          <w:sz w:val="24"/>
          <w:szCs w:val="24"/>
        </w:rPr>
        <w:t>Документ подписан электронной подписью. Дата представления 10.02.2025</w:t>
        <w:br w:type="textWrapping"/>
        <w:t xml:space="preserve">Главный бухгалтер(Чен-Цзи-О Светлана Сергеевна, Сертификат: 0F4AF437D71AF56AFF197E837CD16FD8, Действителен: с 06.12.2024 по 01.03.2026), Руководитель(Савина Инна Анатольевна, Сертификат: 70E82C0EF123BC23489B023D2536E44A, Действителен: с 16.01.2025 по 11.04.2026)        </w:t>
      </w:r>
    </w:p>
    <w:sectPr>
      <w:type w:val="nextPage"/>
      <w:pgSz w:w="15840" w:h="12240" w:orient="landscape"/>
      <w:pgMar w:left="1700" w:right="850" w:top="1133" w:bottom="1133"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heme="minorHAnsi" w:hAnsiTheme="minorHAnsi" w:cstheme="minorBidi" w:eastAsiaTheme="minorEastAsia"/>
        <w:sz w:val="22"/>
        <w:szCs w:val="22"/>
      </w:rPr>
    </w:rPrDefault>
    <w:pPrDefault>
      <w:pPr>
        <w:keepNext w:val="0"/>
        <w:keepLines w:val="0"/>
        <w:pageBreakBefore w:val="0"/>
        <w:widowControl w:val="1"/>
        <w:suppressLineNumbers w:val="0"/>
        <w:shd w:val="clear" w:fill="auto"/>
        <w:suppressAutoHyphens w:val="0"/>
        <w:spacing w:lineRule="auto" w:line="240" w:before="0" w:after="0" w:beforeAutospacing="0" w:afterAutospacing="0"/>
        <w:ind w:firstLine="0" w:left="0" w:right="0"/>
        <w:contextualSpacing w:val="0"/>
        <w:bidi w:val="0"/>
        <w:jc w:val="left"/>
        <w:outlineLvl w:val="9"/>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image2" Type="http://schemas.openxmlformats.org/officeDocument/2006/relationships/image" Target="/media/image2.png" /><Relationship Id="R2" Type="http://schemas.openxmlformats.org/officeDocument/2006/relationships/hyperlink" Target="H:\%D0%9E%D1%82%D0%B4%D0%B5%D0%BB%2005\%D0%93%D0%B5%D1%80%D0%B0%D1%81%D0%B5%D0%BD%D0%BA%D0%BE%D0%B2%D0%B0\%D0%9E%D1%82%D1%87%D0%B5%D1%82%D0%BD%D0%BE%D1%81%D1%82%D1%8C%20%D0%B2%20%D0%A1%D0%BC%D0%B0%D1%80%D1%82%D0%B5\%D0%9F%D0%BE%D1%8F%D1%81%D0%BD%D0%B8%D1%82%D0%B5%D0%BB%D1%8C%D0%BD%D1%8B%D0%B5\%D1%84.%200503160%20%D0%B7%D0%B0%202024.docx" TargetMode="Externa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API/21.2.5.0</Application>
  <AppVersion>21.2</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Ульянова Оксана Вячеславовна</dc:creator>
  <dcterms:created xsi:type="dcterms:W3CDTF">2025-07-04T08:13:38Z</dcterms:created>
  <cp:lastModifiedBy>Ульянова Оксана Вячеславовна</cp:lastModifiedBy>
  <dcterms:modified xsi:type="dcterms:W3CDTF">2025-07-04T08:13:38Z</dcterms:modified>
  <cp:revision>2</cp:revision>
</cp:coreProperties>
</file>